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79" w:rsidRPr="00F21879" w:rsidRDefault="00F21879" w:rsidP="00F21879">
      <w:pPr>
        <w:widowControl/>
        <w:spacing w:before="100" w:beforeAutospacing="1" w:after="150" w:line="480" w:lineRule="atLeast"/>
        <w:jc w:val="center"/>
        <w:rPr>
          <w:rFonts w:ascii="宋体" w:eastAsia="宋体" w:hAnsi="宋体" w:cs="宋体"/>
          <w:color w:val="393939"/>
          <w:kern w:val="0"/>
          <w:sz w:val="24"/>
          <w:szCs w:val="24"/>
        </w:rPr>
      </w:pPr>
      <w:r w:rsidRPr="00F21879">
        <w:rPr>
          <w:rFonts w:ascii="宋体" w:eastAsia="宋体" w:hAnsi="宋体" w:cs="宋体" w:hint="eastAsia"/>
          <w:b/>
          <w:bCs/>
          <w:color w:val="393939"/>
          <w:kern w:val="0"/>
          <w:sz w:val="24"/>
          <w:szCs w:val="24"/>
        </w:rPr>
        <w:t>国务院关于印发统筹推进世界一流大学和一流学科建设总体方案的通知</w:t>
      </w:r>
    </w:p>
    <w:p w:rsidR="00F21879" w:rsidRPr="00F21879" w:rsidRDefault="00F21879" w:rsidP="00F21879">
      <w:pPr>
        <w:widowControl/>
        <w:spacing w:before="100" w:beforeAutospacing="1" w:after="150" w:line="480" w:lineRule="atLeast"/>
        <w:jc w:val="center"/>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国发〔2015〕64号</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建设世界一流大学和一流学科，是党中央、国务院</w:t>
      </w:r>
      <w:proofErr w:type="gramStart"/>
      <w:r w:rsidRPr="00F21879">
        <w:rPr>
          <w:rFonts w:ascii="宋体" w:eastAsia="宋体" w:hAnsi="宋体" w:cs="宋体" w:hint="eastAsia"/>
          <w:color w:val="393939"/>
          <w:kern w:val="0"/>
          <w:sz w:val="24"/>
          <w:szCs w:val="24"/>
        </w:rPr>
        <w:t>作出</w:t>
      </w:r>
      <w:proofErr w:type="gramEnd"/>
      <w:r w:rsidRPr="00F21879">
        <w:rPr>
          <w:rFonts w:ascii="宋体" w:eastAsia="宋体" w:hAnsi="宋体" w:cs="宋体" w:hint="eastAsia"/>
          <w:color w:val="393939"/>
          <w:kern w:val="0"/>
          <w:sz w:val="24"/>
          <w:szCs w:val="24"/>
        </w:rPr>
        <w:t>的重大战略决策，对于提升我国教育发展水平、增强国家核心竞争力、奠定长远发展基础，具有十分重要的意义。多年来，通过实施“211工程”、“985工程”以及“优势学科创新平台”和“特色重点学科项目”等重点建设，一批重点高校和重点学科建设取得重大进展，带动了我国高等教育整体水平的提升，为经济社会持续健康发展</w:t>
      </w:r>
      <w:proofErr w:type="gramStart"/>
      <w:r w:rsidRPr="00F21879">
        <w:rPr>
          <w:rFonts w:ascii="宋体" w:eastAsia="宋体" w:hAnsi="宋体" w:cs="宋体" w:hint="eastAsia"/>
          <w:color w:val="393939"/>
          <w:kern w:val="0"/>
          <w:sz w:val="24"/>
          <w:szCs w:val="24"/>
        </w:rPr>
        <w:t>作出</w:t>
      </w:r>
      <w:proofErr w:type="gramEnd"/>
      <w:r w:rsidRPr="00F21879">
        <w:rPr>
          <w:rFonts w:ascii="宋体" w:eastAsia="宋体" w:hAnsi="宋体" w:cs="宋体" w:hint="eastAsia"/>
          <w:color w:val="393939"/>
          <w:kern w:val="0"/>
          <w:sz w:val="24"/>
          <w:szCs w:val="24"/>
        </w:rPr>
        <w:t>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w:t>
      </w:r>
      <w:r w:rsidRPr="00F21879">
        <w:rPr>
          <w:rFonts w:ascii="宋体" w:eastAsia="宋体" w:hAnsi="宋体" w:cs="宋体" w:hint="eastAsia"/>
          <w:b/>
          <w:bCs/>
          <w:color w:val="000080"/>
          <w:kern w:val="0"/>
          <w:sz w:val="24"/>
          <w:szCs w:val="24"/>
        </w:rPr>
        <w:t>  一、总体要求</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（一）指导思想。</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高举中国特色社会主义伟大旗帜，以邓小平理论、“三个代表”重要思想、科学发展观为指导，认真落实党的十八大和十八届二中、三中、四中全会精神，深入贯彻习近平总书记系列重要讲话精神，按照“四个全面”战略布局和党中央、国务院决策部署，坚持以中国特色、世界一流为核心，以立德树人为根本，以支撑创新驱动发展战略、服务经济社会发展为导向，加快建成一批世界一流大学和一流学科，提升我国高等教育综合实力和国际竞争力，为实现“两个一百年”奋斗目标和中华民族伟大复兴的中国梦提供有力支撑。</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lastRenderedPageBreak/>
        <w:t>    （二）基本原则。</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——坚持以一流为目标。引导和支持具备一定实力的高水平大学和高水平学科瞄准世界一流，汇聚优质资源，培养一流人才，产出一流成果，加快走向世界一流。</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——坚持以学科为基础。引导和支持高等学校优化学科结构，凝练学科发展方向，突出学科建设重点，创新学科组织模式，打造更多学科高峰，带动学校发挥优势、办出特色。</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坚持以绩效为杠杆。建立激励约束机制，鼓励公平竞争，强化目标管理，突出建设实效，构建完善中国特色的世界一流大学和一流学科评价体系，充分激发高校内生动力和发展活力，引导高等学校不断提升办学水平。</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——坚持以改革为动力。深化高校综合改革，加快中国特色现代大学制度建设，着力破除体制机制障碍，加快构建充满活力、富有效率、更加开放、有利于学校科学发展的体制机制，当好教育改革排头兵。</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（三）总体目标。</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w:t>
      </w:r>
      <w:proofErr w:type="gramStart"/>
      <w:r w:rsidRPr="00F21879">
        <w:rPr>
          <w:rFonts w:ascii="宋体" w:eastAsia="宋体" w:hAnsi="宋体" w:cs="宋体" w:hint="eastAsia"/>
          <w:color w:val="393939"/>
          <w:kern w:val="0"/>
          <w:sz w:val="24"/>
          <w:szCs w:val="24"/>
        </w:rPr>
        <w:t>践行</w:t>
      </w:r>
      <w:proofErr w:type="gramEnd"/>
      <w:r w:rsidRPr="00F21879">
        <w:rPr>
          <w:rFonts w:ascii="宋体" w:eastAsia="宋体" w:hAnsi="宋体" w:cs="宋体" w:hint="eastAsia"/>
          <w:color w:val="393939"/>
          <w:kern w:val="0"/>
          <w:sz w:val="24"/>
          <w:szCs w:val="24"/>
        </w:rPr>
        <w:t>社会主义核心价值观、促进高等教育内涵发展等方面发挥重大作用。</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——到2020年，若干所大学和一批学科进入世界一流行列，若干学科进入世界一流学科前列。</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——到2030年，更多的大学和学科进入世界一流行列，若干所大学进入世界一流大学前列，一批学科进入世界一流学科前列，高等教育整体实力显著提升。</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lastRenderedPageBreak/>
        <w:t>    ——到本世纪中叶，一流大学和一流学科的数量和实力进入世界前列，基本建成高等教育强国。</w:t>
      </w:r>
    </w:p>
    <w:p w:rsidR="00F21879" w:rsidRPr="00F21879" w:rsidRDefault="00F21879" w:rsidP="00F21879">
      <w:pPr>
        <w:widowControl/>
        <w:spacing w:before="100" w:beforeAutospacing="1" w:after="150" w:line="480" w:lineRule="atLeast"/>
        <w:jc w:val="left"/>
        <w:rPr>
          <w:rFonts w:ascii="宋体" w:eastAsia="宋体" w:hAnsi="宋体" w:cs="宋体"/>
          <w:color w:val="393939"/>
          <w:kern w:val="0"/>
          <w:sz w:val="24"/>
          <w:szCs w:val="24"/>
        </w:rPr>
      </w:pPr>
      <w:r w:rsidRPr="00F21879">
        <w:rPr>
          <w:rFonts w:ascii="宋体" w:eastAsia="宋体" w:hAnsi="宋体" w:cs="宋体" w:hint="eastAsia"/>
          <w:b/>
          <w:bCs/>
          <w:color w:val="000080"/>
          <w:kern w:val="0"/>
          <w:sz w:val="24"/>
          <w:szCs w:val="24"/>
        </w:rPr>
        <w:t>二、建设任务</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（四）建设一流师资队伍。</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（五）培养拔尖创新人才。</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（六）提升科学研究水平。</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以国家重大需求为导向，提升高水平科学研究能力，为经济社会发展和国家战略实施</w:t>
      </w:r>
      <w:proofErr w:type="gramStart"/>
      <w:r w:rsidRPr="00F21879">
        <w:rPr>
          <w:rFonts w:ascii="宋体" w:eastAsia="宋体" w:hAnsi="宋体" w:cs="宋体" w:hint="eastAsia"/>
          <w:color w:val="393939"/>
          <w:kern w:val="0"/>
          <w:sz w:val="24"/>
          <w:szCs w:val="24"/>
        </w:rPr>
        <w:t>作出</w:t>
      </w:r>
      <w:proofErr w:type="gramEnd"/>
      <w:r w:rsidRPr="00F21879">
        <w:rPr>
          <w:rFonts w:ascii="宋体" w:eastAsia="宋体" w:hAnsi="宋体" w:cs="宋体" w:hint="eastAsia"/>
          <w:color w:val="393939"/>
          <w:kern w:val="0"/>
          <w:sz w:val="24"/>
          <w:szCs w:val="24"/>
        </w:rPr>
        <w:t>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w:t>
      </w:r>
      <w:r w:rsidRPr="00F21879">
        <w:rPr>
          <w:rFonts w:ascii="宋体" w:eastAsia="宋体" w:hAnsi="宋体" w:cs="宋体" w:hint="eastAsia"/>
          <w:color w:val="393939"/>
          <w:kern w:val="0"/>
          <w:sz w:val="24"/>
          <w:szCs w:val="24"/>
        </w:rPr>
        <w:lastRenderedPageBreak/>
        <w:t>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（七）传承创新优秀文化。</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加强大学文化建设，增强文化自觉和制度自信，形成推动社会进步、引领文明进程、各具特色的一流大学精神和大学文化。坚持用价值观引领知识教育，把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（八）着力推进成果转化。</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p>
    <w:p w:rsidR="00F21879" w:rsidRPr="00F21879" w:rsidRDefault="00F21879" w:rsidP="00F21879">
      <w:pPr>
        <w:widowControl/>
        <w:spacing w:before="100" w:beforeAutospacing="1" w:after="150" w:line="480" w:lineRule="atLeast"/>
        <w:jc w:val="left"/>
        <w:rPr>
          <w:rFonts w:ascii="宋体" w:eastAsia="宋体" w:hAnsi="宋体" w:cs="宋体"/>
          <w:color w:val="393939"/>
          <w:kern w:val="0"/>
          <w:sz w:val="24"/>
          <w:szCs w:val="24"/>
        </w:rPr>
      </w:pPr>
      <w:r w:rsidRPr="00F21879">
        <w:rPr>
          <w:rFonts w:ascii="宋体" w:eastAsia="宋体" w:hAnsi="宋体" w:cs="宋体" w:hint="eastAsia"/>
          <w:b/>
          <w:bCs/>
          <w:color w:val="000080"/>
          <w:kern w:val="0"/>
          <w:sz w:val="24"/>
          <w:szCs w:val="24"/>
        </w:rPr>
        <w:t> 三、改革任务</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（九）加强和改进党对高校的领导。</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lastRenderedPageBreak/>
        <w:t>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（十）完善内部治理结构。</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（十一）实现关键环节突破。</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加快推进人才培养模式改革，推进科教协同育人，完善高水平科研支撑拔尖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（十二）构建社会参与机制。</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坚持面向社会依法自主办学，加快建立健全社会支持和监督学校发展的长效机制。建立健全理事会制度，制定理事会章程，着力增强理事会的代表性和权威</w:t>
      </w:r>
      <w:r w:rsidRPr="00F21879">
        <w:rPr>
          <w:rFonts w:ascii="宋体" w:eastAsia="宋体" w:hAnsi="宋体" w:cs="宋体" w:hint="eastAsia"/>
          <w:color w:val="393939"/>
          <w:kern w:val="0"/>
          <w:sz w:val="24"/>
          <w:szCs w:val="24"/>
        </w:rPr>
        <w:lastRenderedPageBreak/>
        <w:t>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（十三）推进国际交流合作。</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p>
    <w:p w:rsidR="00F21879" w:rsidRPr="00F21879" w:rsidRDefault="00F21879" w:rsidP="00F21879">
      <w:pPr>
        <w:widowControl/>
        <w:spacing w:before="100" w:beforeAutospacing="1" w:after="150" w:line="480" w:lineRule="atLeast"/>
        <w:jc w:val="left"/>
        <w:rPr>
          <w:rFonts w:ascii="宋体" w:eastAsia="宋体" w:hAnsi="宋体" w:cs="宋体"/>
          <w:color w:val="393939"/>
          <w:kern w:val="0"/>
          <w:sz w:val="24"/>
          <w:szCs w:val="24"/>
        </w:rPr>
      </w:pPr>
      <w:r w:rsidRPr="00F21879">
        <w:rPr>
          <w:rFonts w:ascii="宋体" w:eastAsia="宋体" w:hAnsi="宋体" w:cs="宋体" w:hint="eastAsia"/>
          <w:b/>
          <w:bCs/>
          <w:color w:val="000080"/>
          <w:kern w:val="0"/>
          <w:sz w:val="24"/>
          <w:szCs w:val="24"/>
        </w:rPr>
        <w:t> 四、支持措施</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（十四）总体规划，分级支持。</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面向经济社会发展需要，立足高等教育发展现状，对世界一流大学和一流学科建设加强总体规划，鼓励和支持不同类型的高水平大学和学科差别化发展，加快进入世界一流行列或前列。每五年一个周期，2016年开始新一轮建设。</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lastRenderedPageBreak/>
        <w:t>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（十五）强化绩效，动态支持。</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（十六）多元投入，合力支持。</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建设世界一流大学和一流学科是一项长期任务，需要各方共同努力，完善政府、社会、学校相结合的共建机制，形成多元化投入、合力支持的格局。</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鼓励有关部门和行业企业积极参与一流大学和一流学科建设。围绕培养所需人才、解决重大瓶颈等问题，加强与有关高校合作，通过共建、联合培养、科技合作攻关等方式支持一流大学和一流学科建设。</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lastRenderedPageBreak/>
        <w:t>    按照平稳有序、逐步推进原则，合理调整高校学费标准，进一步健全成本分担机制。高校要不断拓宽筹资渠道，积极吸引社会捐赠，扩大社会合作，健全社会支持长效机制，多渠道汇聚资源，增强自我发展能力。</w:t>
      </w:r>
    </w:p>
    <w:p w:rsidR="00F21879" w:rsidRPr="00F21879" w:rsidRDefault="00F21879" w:rsidP="00F21879">
      <w:pPr>
        <w:widowControl/>
        <w:spacing w:before="100" w:beforeAutospacing="1" w:after="150" w:line="480" w:lineRule="atLeast"/>
        <w:jc w:val="left"/>
        <w:rPr>
          <w:rFonts w:ascii="宋体" w:eastAsia="宋体" w:hAnsi="宋体" w:cs="宋体"/>
          <w:color w:val="393939"/>
          <w:kern w:val="0"/>
          <w:sz w:val="24"/>
          <w:szCs w:val="24"/>
        </w:rPr>
      </w:pPr>
      <w:r w:rsidRPr="00F21879">
        <w:rPr>
          <w:rFonts w:ascii="宋体" w:eastAsia="宋体" w:hAnsi="宋体" w:cs="宋体" w:hint="eastAsia"/>
          <w:b/>
          <w:bCs/>
          <w:color w:val="000080"/>
          <w:kern w:val="0"/>
          <w:sz w:val="24"/>
          <w:szCs w:val="24"/>
        </w:rPr>
        <w:t>五、组织实施</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（十七）加强组织管理。</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国家教育体制改革领导小组负责顶层设计、宏观布局、统筹协调、经费投入等重要事项决策，重大问题及时报告国务院。教育部、财政部、发展改革委负责规划部署、推进实施、监督管理等工作，日常工作由教育部承担。</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（十八）有序推进实施。</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要完善配套政策，根据本方案组织制定绩效评价和资金管理等具体办法。</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要编制建设方案，深入研究学校的建设基础、优势特色、发展潜力等，科学编制发展规划和建设方案，提出具体的建设目标、任务和周期，明确改革举措、资源配置和资金筹集等安排。</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要开展咨询论证，组织相关专家，结合经济社会发展需求和国家战略需要，对学校建设方案的科学性、可行性进行咨询论证，提出意见建议。</w:t>
      </w:r>
    </w:p>
    <w:p w:rsidR="00F21879" w:rsidRPr="00F21879" w:rsidRDefault="00F21879" w:rsidP="00F21879">
      <w:pPr>
        <w:widowControl/>
        <w:spacing w:before="100" w:beforeAutospacing="1" w:after="150" w:line="480" w:lineRule="atLeast"/>
        <w:jc w:val="left"/>
        <w:rPr>
          <w:rFonts w:ascii="宋体" w:eastAsia="宋体" w:hAnsi="宋体" w:cs="宋体" w:hint="eastAsia"/>
          <w:color w:val="393939"/>
          <w:kern w:val="0"/>
          <w:sz w:val="24"/>
          <w:szCs w:val="24"/>
        </w:rPr>
      </w:pPr>
      <w:r w:rsidRPr="00F21879">
        <w:rPr>
          <w:rFonts w:ascii="宋体" w:eastAsia="宋体" w:hAnsi="宋体" w:cs="宋体" w:hint="eastAsia"/>
          <w:color w:val="393939"/>
          <w:kern w:val="0"/>
          <w:sz w:val="24"/>
          <w:szCs w:val="24"/>
        </w:rPr>
        <w:t>    要强化跟踪指导，对建设过程实施动态监测，及时发现建设中存在的问题，提出改进的意见建议。建立信息公开公示网络平台，接受社会公众监督。</w:t>
      </w:r>
    </w:p>
    <w:p w:rsidR="004B1B54" w:rsidRPr="00F21879" w:rsidRDefault="004B1B54"/>
    <w:sectPr w:rsidR="004B1B54" w:rsidRPr="00F21879" w:rsidSect="004B1B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21879"/>
    <w:rsid w:val="004B1B54"/>
    <w:rsid w:val="00F218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485980">
      <w:bodyDiv w:val="1"/>
      <w:marLeft w:val="0"/>
      <w:marRight w:val="0"/>
      <w:marTop w:val="0"/>
      <w:marBottom w:val="0"/>
      <w:divBdr>
        <w:top w:val="none" w:sz="0" w:space="0" w:color="auto"/>
        <w:left w:val="none" w:sz="0" w:space="0" w:color="auto"/>
        <w:bottom w:val="none" w:sz="0" w:space="0" w:color="auto"/>
        <w:right w:val="none" w:sz="0" w:space="0" w:color="auto"/>
      </w:divBdr>
      <w:divsChild>
        <w:div w:id="1375157446">
          <w:marLeft w:val="0"/>
          <w:marRight w:val="0"/>
          <w:marTop w:val="0"/>
          <w:marBottom w:val="0"/>
          <w:divBdr>
            <w:top w:val="none" w:sz="0" w:space="0" w:color="auto"/>
            <w:left w:val="none" w:sz="0" w:space="0" w:color="auto"/>
            <w:bottom w:val="none" w:sz="0" w:space="0" w:color="auto"/>
            <w:right w:val="none" w:sz="0" w:space="0" w:color="auto"/>
          </w:divBdr>
          <w:divsChild>
            <w:div w:id="1113747940">
              <w:marLeft w:val="0"/>
              <w:marRight w:val="5100"/>
              <w:marTop w:val="0"/>
              <w:marBottom w:val="0"/>
              <w:divBdr>
                <w:top w:val="none" w:sz="0" w:space="0" w:color="auto"/>
                <w:left w:val="none" w:sz="0" w:space="0" w:color="auto"/>
                <w:bottom w:val="none" w:sz="0" w:space="0" w:color="auto"/>
                <w:right w:val="none" w:sz="0" w:space="0" w:color="auto"/>
              </w:divBdr>
              <w:divsChild>
                <w:div w:id="95521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616830">
      <w:bodyDiv w:val="1"/>
      <w:marLeft w:val="0"/>
      <w:marRight w:val="0"/>
      <w:marTop w:val="0"/>
      <w:marBottom w:val="0"/>
      <w:divBdr>
        <w:top w:val="none" w:sz="0" w:space="0" w:color="auto"/>
        <w:left w:val="none" w:sz="0" w:space="0" w:color="auto"/>
        <w:bottom w:val="none" w:sz="0" w:space="0" w:color="auto"/>
        <w:right w:val="none" w:sz="0" w:space="0" w:color="auto"/>
      </w:divBdr>
      <w:divsChild>
        <w:div w:id="753280043">
          <w:marLeft w:val="0"/>
          <w:marRight w:val="0"/>
          <w:marTop w:val="0"/>
          <w:marBottom w:val="0"/>
          <w:divBdr>
            <w:top w:val="none" w:sz="0" w:space="0" w:color="auto"/>
            <w:left w:val="none" w:sz="0" w:space="0" w:color="auto"/>
            <w:bottom w:val="none" w:sz="0" w:space="0" w:color="auto"/>
            <w:right w:val="none" w:sz="0" w:space="0" w:color="auto"/>
          </w:divBdr>
          <w:divsChild>
            <w:div w:id="1949577087">
              <w:marLeft w:val="0"/>
              <w:marRight w:val="5100"/>
              <w:marTop w:val="0"/>
              <w:marBottom w:val="0"/>
              <w:divBdr>
                <w:top w:val="none" w:sz="0" w:space="0" w:color="auto"/>
                <w:left w:val="none" w:sz="0" w:space="0" w:color="auto"/>
                <w:bottom w:val="none" w:sz="0" w:space="0" w:color="auto"/>
                <w:right w:val="none" w:sz="0" w:space="0" w:color="auto"/>
              </w:divBdr>
              <w:divsChild>
                <w:div w:id="4624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841125">
      <w:bodyDiv w:val="1"/>
      <w:marLeft w:val="0"/>
      <w:marRight w:val="0"/>
      <w:marTop w:val="0"/>
      <w:marBottom w:val="0"/>
      <w:divBdr>
        <w:top w:val="none" w:sz="0" w:space="0" w:color="auto"/>
        <w:left w:val="none" w:sz="0" w:space="0" w:color="auto"/>
        <w:bottom w:val="none" w:sz="0" w:space="0" w:color="auto"/>
        <w:right w:val="none" w:sz="0" w:space="0" w:color="auto"/>
      </w:divBdr>
      <w:divsChild>
        <w:div w:id="1729648263">
          <w:marLeft w:val="0"/>
          <w:marRight w:val="0"/>
          <w:marTop w:val="0"/>
          <w:marBottom w:val="0"/>
          <w:divBdr>
            <w:top w:val="none" w:sz="0" w:space="0" w:color="auto"/>
            <w:left w:val="none" w:sz="0" w:space="0" w:color="auto"/>
            <w:bottom w:val="none" w:sz="0" w:space="0" w:color="auto"/>
            <w:right w:val="none" w:sz="0" w:space="0" w:color="auto"/>
          </w:divBdr>
          <w:divsChild>
            <w:div w:id="1090740937">
              <w:marLeft w:val="0"/>
              <w:marRight w:val="5100"/>
              <w:marTop w:val="0"/>
              <w:marBottom w:val="0"/>
              <w:divBdr>
                <w:top w:val="none" w:sz="0" w:space="0" w:color="auto"/>
                <w:left w:val="none" w:sz="0" w:space="0" w:color="auto"/>
                <w:bottom w:val="none" w:sz="0" w:space="0" w:color="auto"/>
                <w:right w:val="none" w:sz="0" w:space="0" w:color="auto"/>
              </w:divBdr>
              <w:divsChild>
                <w:div w:id="10386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4311">
      <w:bodyDiv w:val="1"/>
      <w:marLeft w:val="0"/>
      <w:marRight w:val="0"/>
      <w:marTop w:val="0"/>
      <w:marBottom w:val="0"/>
      <w:divBdr>
        <w:top w:val="none" w:sz="0" w:space="0" w:color="auto"/>
        <w:left w:val="none" w:sz="0" w:space="0" w:color="auto"/>
        <w:bottom w:val="none" w:sz="0" w:space="0" w:color="auto"/>
        <w:right w:val="none" w:sz="0" w:space="0" w:color="auto"/>
      </w:divBdr>
      <w:divsChild>
        <w:div w:id="895237539">
          <w:marLeft w:val="0"/>
          <w:marRight w:val="0"/>
          <w:marTop w:val="0"/>
          <w:marBottom w:val="0"/>
          <w:divBdr>
            <w:top w:val="none" w:sz="0" w:space="0" w:color="auto"/>
            <w:left w:val="none" w:sz="0" w:space="0" w:color="auto"/>
            <w:bottom w:val="none" w:sz="0" w:space="0" w:color="auto"/>
            <w:right w:val="none" w:sz="0" w:space="0" w:color="auto"/>
          </w:divBdr>
          <w:divsChild>
            <w:div w:id="387808036">
              <w:marLeft w:val="0"/>
              <w:marRight w:val="5100"/>
              <w:marTop w:val="0"/>
              <w:marBottom w:val="0"/>
              <w:divBdr>
                <w:top w:val="none" w:sz="0" w:space="0" w:color="auto"/>
                <w:left w:val="none" w:sz="0" w:space="0" w:color="auto"/>
                <w:bottom w:val="none" w:sz="0" w:space="0" w:color="auto"/>
                <w:right w:val="none" w:sz="0" w:space="0" w:color="auto"/>
              </w:divBdr>
              <w:divsChild>
                <w:div w:id="17611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77493">
      <w:bodyDiv w:val="1"/>
      <w:marLeft w:val="0"/>
      <w:marRight w:val="0"/>
      <w:marTop w:val="0"/>
      <w:marBottom w:val="0"/>
      <w:divBdr>
        <w:top w:val="none" w:sz="0" w:space="0" w:color="auto"/>
        <w:left w:val="none" w:sz="0" w:space="0" w:color="auto"/>
        <w:bottom w:val="none" w:sz="0" w:space="0" w:color="auto"/>
        <w:right w:val="none" w:sz="0" w:space="0" w:color="auto"/>
      </w:divBdr>
      <w:divsChild>
        <w:div w:id="312374219">
          <w:marLeft w:val="0"/>
          <w:marRight w:val="0"/>
          <w:marTop w:val="0"/>
          <w:marBottom w:val="0"/>
          <w:divBdr>
            <w:top w:val="none" w:sz="0" w:space="0" w:color="auto"/>
            <w:left w:val="none" w:sz="0" w:space="0" w:color="auto"/>
            <w:bottom w:val="none" w:sz="0" w:space="0" w:color="auto"/>
            <w:right w:val="none" w:sz="0" w:space="0" w:color="auto"/>
          </w:divBdr>
          <w:divsChild>
            <w:div w:id="1613703178">
              <w:marLeft w:val="0"/>
              <w:marRight w:val="5100"/>
              <w:marTop w:val="0"/>
              <w:marBottom w:val="0"/>
              <w:divBdr>
                <w:top w:val="none" w:sz="0" w:space="0" w:color="auto"/>
                <w:left w:val="none" w:sz="0" w:space="0" w:color="auto"/>
                <w:bottom w:val="none" w:sz="0" w:space="0" w:color="auto"/>
                <w:right w:val="none" w:sz="0" w:space="0" w:color="auto"/>
              </w:divBdr>
              <w:divsChild>
                <w:div w:id="612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834</Words>
  <Characters>4754</Characters>
  <Application>Microsoft Office Word</Application>
  <DocSecurity>0</DocSecurity>
  <Lines>39</Lines>
  <Paragraphs>11</Paragraphs>
  <ScaleCrop>false</ScaleCrop>
  <Company>微软中国</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贾开心（公文收发员）</dc:creator>
  <cp:keywords/>
  <dc:description/>
  <cp:lastModifiedBy>贾开心（公文收发员）</cp:lastModifiedBy>
  <cp:revision>1</cp:revision>
  <dcterms:created xsi:type="dcterms:W3CDTF">2015-11-11T07:51:00Z</dcterms:created>
  <dcterms:modified xsi:type="dcterms:W3CDTF">2015-11-11T07:54:00Z</dcterms:modified>
</cp:coreProperties>
</file>